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F97" w:rsidRPr="0060296B" w:rsidRDefault="00DC2F97" w:rsidP="00DC2F97">
      <w:pPr>
        <w:pStyle w:val="LettreTexte"/>
        <w:jc w:val="right"/>
        <w:rPr>
          <w:lang w:val="fr-BE"/>
        </w:rPr>
      </w:pPr>
    </w:p>
    <w:p w:rsidR="00DC2F97" w:rsidRPr="0060296B" w:rsidRDefault="00DC2F97" w:rsidP="00DC2F97">
      <w:pPr>
        <w:jc w:val="center"/>
        <w:rPr>
          <w:rFonts w:ascii="Arial" w:hAnsi="Arial" w:cs="Arial"/>
          <w:b/>
          <w:color w:val="000000"/>
          <w:u w:val="single"/>
          <w:lang w:val="fr-BE" w:eastAsia="fr-BE"/>
        </w:rPr>
      </w:pPr>
      <w:r w:rsidRPr="0060296B">
        <w:rPr>
          <w:rFonts w:ascii="Arial" w:hAnsi="Arial" w:cs="Arial"/>
          <w:b/>
          <w:color w:val="000000"/>
          <w:u w:val="single"/>
          <w:lang w:val="fr-BE"/>
        </w:rPr>
        <w:t>NOTE D’INFORMATION RELATIVE AUX FRAIS ET HONORAIRES</w:t>
      </w:r>
    </w:p>
    <w:p w:rsidR="00DC2F97" w:rsidRPr="0060296B" w:rsidRDefault="00DC2F97" w:rsidP="00DC2F97">
      <w:pPr>
        <w:rPr>
          <w:rFonts w:ascii="Arial" w:hAnsi="Arial" w:cs="Arial"/>
          <w:color w:val="000000"/>
          <w:lang w:val="fr-BE"/>
        </w:rPr>
      </w:pPr>
    </w:p>
    <w:p w:rsidR="00DC2F97" w:rsidRPr="0060296B" w:rsidRDefault="00DC2F97" w:rsidP="00DC2F97">
      <w:pPr>
        <w:rPr>
          <w:rFonts w:ascii="Arial" w:hAnsi="Arial" w:cs="Arial"/>
          <w:color w:val="000000"/>
          <w:lang w:val="fr-BE"/>
        </w:rPr>
      </w:pPr>
    </w:p>
    <w:p w:rsidR="00DC2F97" w:rsidRPr="0060296B" w:rsidRDefault="00DC2F97" w:rsidP="00DC2F97">
      <w:pPr>
        <w:jc w:val="both"/>
        <w:rPr>
          <w:rFonts w:ascii="Arial" w:hAnsi="Arial" w:cs="Arial"/>
          <w:color w:val="000000"/>
          <w:lang w:val="fr-BE"/>
        </w:rPr>
      </w:pPr>
      <w:r w:rsidRPr="0060296B">
        <w:rPr>
          <w:rFonts w:ascii="Arial" w:hAnsi="Arial" w:cs="Arial"/>
          <w:color w:val="000000"/>
          <w:lang w:val="fr-BE"/>
        </w:rPr>
        <w:t>La présente note a pour objectif de vous permettre de comprendre comment les services de votre avocat vous seront portés en compte.</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r w:rsidRPr="0060296B">
        <w:rPr>
          <w:rFonts w:ascii="Arial" w:hAnsi="Arial" w:cs="Arial"/>
          <w:color w:val="000000"/>
          <w:lang w:val="fr-BE"/>
        </w:rPr>
        <w:t>Votre avocat reste à votre disposition pour toute précision, observation ou question que vous vous poseriez.</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p>
    <w:p w:rsidR="00DC2F97" w:rsidRPr="0060296B" w:rsidRDefault="00DC2F97" w:rsidP="00DC2F97">
      <w:pPr>
        <w:numPr>
          <w:ilvl w:val="0"/>
          <w:numId w:val="1"/>
        </w:numPr>
        <w:jc w:val="both"/>
        <w:rPr>
          <w:rFonts w:ascii="Arial" w:hAnsi="Arial" w:cs="Arial"/>
          <w:b/>
          <w:color w:val="000000"/>
          <w:u w:val="single"/>
          <w:lang w:val="fr-BE"/>
        </w:rPr>
      </w:pPr>
      <w:r w:rsidRPr="0060296B">
        <w:rPr>
          <w:rFonts w:ascii="Arial" w:hAnsi="Arial" w:cs="Arial"/>
          <w:b/>
          <w:color w:val="000000"/>
          <w:u w:val="single"/>
          <w:lang w:val="fr-BE"/>
        </w:rPr>
        <w:t>LES HONORAIRES :</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r w:rsidRPr="0060296B">
        <w:rPr>
          <w:rFonts w:ascii="Arial" w:hAnsi="Arial" w:cs="Arial"/>
          <w:color w:val="000000"/>
          <w:lang w:val="fr-BE"/>
        </w:rPr>
        <w:t>Les honoraires de l’avocat sont calculés en principe sur la base d’un tarif horaire oscillant entre 110 € et 150 € HTVA, lequel est notamment fonction de la difficulté du dossier, de la capacité financière du client, des enjeux financiers et de la spécialisation de l’avocat dans le domaine concerné.</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r w:rsidRPr="0060296B">
        <w:rPr>
          <w:rFonts w:ascii="Arial" w:hAnsi="Arial" w:cs="Arial"/>
          <w:color w:val="000000"/>
          <w:lang w:val="fr-BE"/>
        </w:rPr>
        <w:t>Le temps consacré par l’avocat au traitement du dossier est scrupuleusement comptabilisé pour être ensuite facturé selon le taux horaire qui a été déterminé.</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r w:rsidRPr="0060296B">
        <w:rPr>
          <w:rFonts w:ascii="Arial" w:hAnsi="Arial" w:cs="Arial"/>
          <w:color w:val="000000"/>
          <w:lang w:val="fr-BE"/>
        </w:rPr>
        <w:t>Le taux horaire applicable à un dossier déterminé est annoncé dès l’ouverture du dossier ou au terme d’un premier examen approfondi de celui-ci.</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r w:rsidRPr="0060296B">
        <w:rPr>
          <w:rFonts w:ascii="Arial" w:hAnsi="Arial" w:cs="Arial"/>
          <w:color w:val="000000"/>
          <w:lang w:val="fr-BE"/>
        </w:rPr>
        <w:t>Le taux horaire appliqué peut être indexé le 1</w:t>
      </w:r>
      <w:r w:rsidRPr="0060296B">
        <w:rPr>
          <w:rFonts w:ascii="Arial" w:hAnsi="Arial" w:cs="Arial"/>
          <w:color w:val="000000"/>
          <w:vertAlign w:val="superscript"/>
          <w:lang w:val="fr-BE"/>
        </w:rPr>
        <w:t>ier</w:t>
      </w:r>
      <w:r w:rsidRPr="0060296B">
        <w:rPr>
          <w:rFonts w:ascii="Arial" w:hAnsi="Arial" w:cs="Arial"/>
          <w:color w:val="000000"/>
          <w:lang w:val="fr-BE"/>
        </w:rPr>
        <w:t xml:space="preserve"> janvier de chaque année sur la base de l’indice des prix à la consommation, l’indice de départ étant celui du mois de décembre précédant l’ouverture du dossier.</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r w:rsidRPr="0060296B">
        <w:rPr>
          <w:rFonts w:ascii="Arial" w:hAnsi="Arial" w:cs="Arial"/>
          <w:color w:val="000000"/>
          <w:lang w:val="fr-BE"/>
        </w:rPr>
        <w:t>Ce taux horaire de base peut toutefois être majoré de 100 % maximum, notamment pour des devoirs accomplis sous le couvert de l’urgence, pour des prestations nécessitant une compétence dans une matière spécialisée, à raison des difficultés rencontrées, des responsabilités à prendre par l’avocat ou des résultats exceptionnels obtenus.</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r w:rsidRPr="0060296B">
        <w:rPr>
          <w:rFonts w:ascii="Arial" w:hAnsi="Arial" w:cs="Arial"/>
          <w:color w:val="000000"/>
          <w:lang w:val="fr-BE"/>
        </w:rPr>
        <w:t>Ce taux de base peut être diminué à titre exceptionnel en fonction de critères à apprécier par l’avocat en charge du dossier.</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r w:rsidRPr="0060296B">
        <w:rPr>
          <w:rFonts w:ascii="Arial" w:hAnsi="Arial" w:cs="Arial"/>
          <w:color w:val="000000"/>
          <w:lang w:val="fr-BE"/>
        </w:rPr>
        <w:t>Dans le cas d’affaires évaluables en argent et en cas de gain même partiel du litige, il peut être convenu que l’avocat prenne en compte un honoraire de résultat correspondant à un pourcentage dégressif des montants auxquels la partie adverse a été condamnée ou dont elle a été déboutée, selon le tableau suivant :</w:t>
      </w:r>
    </w:p>
    <w:p w:rsidR="00DC2F97" w:rsidRPr="0060296B" w:rsidRDefault="00DC2F97" w:rsidP="00DC2F97">
      <w:pPr>
        <w:jc w:val="both"/>
        <w:rPr>
          <w:rFonts w:ascii="Arial" w:hAnsi="Arial" w:cs="Arial"/>
          <w:color w:val="000000"/>
          <w:lang w:val="fr-BE"/>
        </w:rPr>
      </w:pPr>
    </w:p>
    <w:p w:rsidR="00DC2F97" w:rsidRPr="0060296B" w:rsidRDefault="00DC2F97" w:rsidP="00DC2F97">
      <w:pPr>
        <w:numPr>
          <w:ilvl w:val="0"/>
          <w:numId w:val="2"/>
        </w:numPr>
        <w:pBdr>
          <w:top w:val="single" w:sz="4" w:space="1" w:color="auto"/>
          <w:left w:val="single" w:sz="4" w:space="4" w:color="auto"/>
          <w:bottom w:val="single" w:sz="4" w:space="1" w:color="auto"/>
          <w:right w:val="single" w:sz="4" w:space="0" w:color="auto"/>
          <w:between w:val="single" w:sz="4" w:space="1" w:color="auto"/>
        </w:pBdr>
        <w:ind w:left="1440"/>
        <w:jc w:val="both"/>
        <w:rPr>
          <w:rFonts w:ascii="Arial" w:hAnsi="Arial" w:cs="Arial"/>
          <w:color w:val="000000"/>
          <w:lang w:val="fr-BE"/>
        </w:rPr>
      </w:pPr>
      <w:r>
        <w:rPr>
          <w:rFonts w:ascii="Arial" w:hAnsi="Arial" w:cs="Arial"/>
          <w:color w:val="000000"/>
          <w:lang w:val="fr-BE"/>
        </w:rPr>
        <w:t>De 0 à 6.500 € :</w:t>
      </w:r>
      <w:r>
        <w:rPr>
          <w:rFonts w:ascii="Arial" w:hAnsi="Arial" w:cs="Arial"/>
          <w:color w:val="000000"/>
          <w:lang w:val="fr-BE"/>
        </w:rPr>
        <w:tab/>
      </w:r>
      <w:r>
        <w:rPr>
          <w:rFonts w:ascii="Arial" w:hAnsi="Arial" w:cs="Arial"/>
          <w:color w:val="000000"/>
          <w:lang w:val="fr-BE"/>
        </w:rPr>
        <w:tab/>
      </w:r>
      <w:r>
        <w:rPr>
          <w:rFonts w:ascii="Arial" w:hAnsi="Arial" w:cs="Arial"/>
          <w:color w:val="000000"/>
          <w:lang w:val="fr-BE"/>
        </w:rPr>
        <w:tab/>
      </w:r>
      <w:r>
        <w:rPr>
          <w:rFonts w:ascii="Arial" w:hAnsi="Arial" w:cs="Arial"/>
          <w:color w:val="000000"/>
          <w:lang w:val="fr-BE"/>
        </w:rPr>
        <w:tab/>
      </w:r>
      <w:r>
        <w:rPr>
          <w:rFonts w:ascii="Arial" w:hAnsi="Arial" w:cs="Arial"/>
          <w:color w:val="000000"/>
          <w:lang w:val="fr-BE"/>
        </w:rPr>
        <w:tab/>
      </w:r>
      <w:r>
        <w:rPr>
          <w:rFonts w:ascii="Arial" w:hAnsi="Arial" w:cs="Arial"/>
          <w:color w:val="000000"/>
          <w:lang w:val="fr-BE"/>
        </w:rPr>
        <w:tab/>
      </w:r>
      <w:bookmarkStart w:id="0" w:name="_GoBack"/>
      <w:bookmarkEnd w:id="0"/>
      <w:r w:rsidRPr="0060296B">
        <w:rPr>
          <w:rFonts w:ascii="Arial" w:hAnsi="Arial" w:cs="Arial"/>
          <w:color w:val="000000"/>
          <w:lang w:val="fr-BE"/>
        </w:rPr>
        <w:t>15 %</w:t>
      </w:r>
    </w:p>
    <w:p w:rsidR="00DC2F97" w:rsidRPr="0060296B" w:rsidRDefault="00DC2F97" w:rsidP="00DC2F97">
      <w:pPr>
        <w:numPr>
          <w:ilvl w:val="0"/>
          <w:numId w:val="2"/>
        </w:numPr>
        <w:pBdr>
          <w:top w:val="single" w:sz="4" w:space="1" w:color="auto"/>
          <w:left w:val="single" w:sz="4" w:space="4" w:color="auto"/>
          <w:bottom w:val="single" w:sz="4" w:space="1" w:color="auto"/>
          <w:right w:val="single" w:sz="4" w:space="0" w:color="auto"/>
          <w:between w:val="single" w:sz="4" w:space="1" w:color="auto"/>
        </w:pBdr>
        <w:ind w:left="1440"/>
        <w:jc w:val="both"/>
        <w:rPr>
          <w:rFonts w:ascii="Arial" w:hAnsi="Arial" w:cs="Arial"/>
          <w:color w:val="000000"/>
          <w:lang w:val="fr-BE"/>
        </w:rPr>
      </w:pPr>
      <w:r w:rsidRPr="0060296B">
        <w:rPr>
          <w:rFonts w:ascii="Arial" w:hAnsi="Arial" w:cs="Arial"/>
          <w:color w:val="000000"/>
          <w:lang w:val="fr-BE"/>
        </w:rPr>
        <w:t>De 6.501 € à 50.000 € :</w:t>
      </w:r>
      <w:r w:rsidRPr="0060296B">
        <w:rPr>
          <w:rFonts w:ascii="Arial" w:hAnsi="Arial" w:cs="Arial"/>
          <w:color w:val="000000"/>
          <w:lang w:val="fr-BE"/>
        </w:rPr>
        <w:tab/>
      </w:r>
      <w:r w:rsidRPr="0060296B">
        <w:rPr>
          <w:rFonts w:ascii="Arial" w:hAnsi="Arial" w:cs="Arial"/>
          <w:color w:val="000000"/>
          <w:lang w:val="fr-BE"/>
        </w:rPr>
        <w:tab/>
      </w:r>
      <w:r w:rsidRPr="0060296B">
        <w:rPr>
          <w:rFonts w:ascii="Arial" w:hAnsi="Arial" w:cs="Arial"/>
          <w:color w:val="000000"/>
          <w:lang w:val="fr-BE"/>
        </w:rPr>
        <w:tab/>
      </w:r>
      <w:r w:rsidRPr="0060296B">
        <w:rPr>
          <w:rFonts w:ascii="Arial" w:hAnsi="Arial" w:cs="Arial"/>
          <w:color w:val="000000"/>
          <w:lang w:val="fr-BE"/>
        </w:rPr>
        <w:tab/>
      </w:r>
      <w:r w:rsidRPr="0060296B">
        <w:rPr>
          <w:rFonts w:ascii="Arial" w:hAnsi="Arial" w:cs="Arial"/>
          <w:color w:val="000000"/>
          <w:lang w:val="fr-BE"/>
        </w:rPr>
        <w:tab/>
      </w:r>
      <w:r w:rsidRPr="0060296B">
        <w:rPr>
          <w:rFonts w:ascii="Arial" w:hAnsi="Arial" w:cs="Arial"/>
          <w:color w:val="000000"/>
          <w:lang w:val="fr-BE"/>
        </w:rPr>
        <w:tab/>
        <w:t>10 %</w:t>
      </w:r>
    </w:p>
    <w:p w:rsidR="00DC2F97" w:rsidRPr="0060296B" w:rsidRDefault="00DC2F97" w:rsidP="00DC2F97">
      <w:pPr>
        <w:numPr>
          <w:ilvl w:val="0"/>
          <w:numId w:val="2"/>
        </w:numPr>
        <w:pBdr>
          <w:top w:val="single" w:sz="4" w:space="1" w:color="auto"/>
          <w:left w:val="single" w:sz="4" w:space="4" w:color="auto"/>
          <w:bottom w:val="single" w:sz="4" w:space="1" w:color="auto"/>
          <w:right w:val="single" w:sz="4" w:space="0" w:color="auto"/>
          <w:between w:val="single" w:sz="4" w:space="1" w:color="auto"/>
        </w:pBdr>
        <w:ind w:left="1440"/>
        <w:jc w:val="both"/>
        <w:rPr>
          <w:rFonts w:ascii="Arial" w:hAnsi="Arial" w:cs="Arial"/>
          <w:color w:val="000000"/>
          <w:lang w:val="fr-BE"/>
        </w:rPr>
      </w:pPr>
      <w:r w:rsidRPr="0060296B">
        <w:rPr>
          <w:rFonts w:ascii="Arial" w:hAnsi="Arial" w:cs="Arial"/>
          <w:color w:val="000000"/>
          <w:lang w:val="fr-BE"/>
        </w:rPr>
        <w:t>De 50.001 € à 125.000 € :</w:t>
      </w:r>
      <w:r w:rsidRPr="0060296B">
        <w:rPr>
          <w:rFonts w:ascii="Arial" w:hAnsi="Arial" w:cs="Arial"/>
          <w:color w:val="000000"/>
          <w:lang w:val="fr-BE"/>
        </w:rPr>
        <w:tab/>
      </w:r>
      <w:r w:rsidRPr="0060296B">
        <w:rPr>
          <w:rFonts w:ascii="Arial" w:hAnsi="Arial" w:cs="Arial"/>
          <w:color w:val="000000"/>
          <w:lang w:val="fr-BE"/>
        </w:rPr>
        <w:tab/>
      </w:r>
      <w:r w:rsidRPr="0060296B">
        <w:rPr>
          <w:rFonts w:ascii="Arial" w:hAnsi="Arial" w:cs="Arial"/>
          <w:color w:val="000000"/>
          <w:lang w:val="fr-BE"/>
        </w:rPr>
        <w:tab/>
      </w:r>
      <w:r w:rsidRPr="0060296B">
        <w:rPr>
          <w:rFonts w:ascii="Arial" w:hAnsi="Arial" w:cs="Arial"/>
          <w:color w:val="000000"/>
          <w:lang w:val="fr-BE"/>
        </w:rPr>
        <w:tab/>
      </w:r>
      <w:proofErr w:type="gramStart"/>
      <w:r w:rsidRPr="0060296B">
        <w:rPr>
          <w:rFonts w:ascii="Arial" w:hAnsi="Arial" w:cs="Arial"/>
          <w:color w:val="000000"/>
          <w:lang w:val="fr-BE"/>
        </w:rPr>
        <w:tab/>
        <w:t xml:space="preserve">  8</w:t>
      </w:r>
      <w:proofErr w:type="gramEnd"/>
      <w:r w:rsidRPr="0060296B">
        <w:rPr>
          <w:rFonts w:ascii="Arial" w:hAnsi="Arial" w:cs="Arial"/>
          <w:color w:val="000000"/>
          <w:lang w:val="fr-BE"/>
        </w:rPr>
        <w:t xml:space="preserve"> %</w:t>
      </w:r>
    </w:p>
    <w:p w:rsidR="00DC2F97" w:rsidRPr="0060296B" w:rsidRDefault="00DC2F97" w:rsidP="00DC2F97">
      <w:pPr>
        <w:numPr>
          <w:ilvl w:val="0"/>
          <w:numId w:val="2"/>
        </w:numPr>
        <w:pBdr>
          <w:top w:val="single" w:sz="4" w:space="1" w:color="auto"/>
          <w:left w:val="single" w:sz="4" w:space="4" w:color="auto"/>
          <w:bottom w:val="single" w:sz="4" w:space="1" w:color="auto"/>
          <w:right w:val="single" w:sz="4" w:space="0" w:color="auto"/>
          <w:between w:val="single" w:sz="4" w:space="1" w:color="auto"/>
        </w:pBdr>
        <w:ind w:left="1440"/>
        <w:jc w:val="both"/>
        <w:rPr>
          <w:rFonts w:ascii="Arial" w:hAnsi="Arial" w:cs="Arial"/>
          <w:color w:val="000000"/>
          <w:lang w:val="fr-BE"/>
        </w:rPr>
      </w:pPr>
      <w:r w:rsidRPr="0060296B">
        <w:rPr>
          <w:rFonts w:ascii="Arial" w:hAnsi="Arial" w:cs="Arial"/>
          <w:color w:val="000000"/>
          <w:lang w:val="fr-BE"/>
        </w:rPr>
        <w:t>De 125.001 € à 250.000 € :</w:t>
      </w:r>
      <w:r w:rsidRPr="0060296B">
        <w:rPr>
          <w:rFonts w:ascii="Arial" w:hAnsi="Arial" w:cs="Arial"/>
          <w:color w:val="000000"/>
          <w:lang w:val="fr-BE"/>
        </w:rPr>
        <w:tab/>
        <w:t xml:space="preserve"> </w:t>
      </w:r>
      <w:r w:rsidRPr="0060296B">
        <w:rPr>
          <w:rFonts w:ascii="Arial" w:hAnsi="Arial" w:cs="Arial"/>
          <w:color w:val="000000"/>
          <w:lang w:val="fr-BE"/>
        </w:rPr>
        <w:tab/>
      </w:r>
      <w:r w:rsidRPr="0060296B">
        <w:rPr>
          <w:rFonts w:ascii="Arial" w:hAnsi="Arial" w:cs="Arial"/>
          <w:color w:val="000000"/>
          <w:lang w:val="fr-BE"/>
        </w:rPr>
        <w:tab/>
      </w:r>
      <w:r w:rsidRPr="0060296B">
        <w:rPr>
          <w:rFonts w:ascii="Arial" w:hAnsi="Arial" w:cs="Arial"/>
          <w:color w:val="000000"/>
          <w:lang w:val="fr-BE"/>
        </w:rPr>
        <w:tab/>
      </w:r>
      <w:proofErr w:type="gramStart"/>
      <w:r w:rsidRPr="0060296B">
        <w:rPr>
          <w:rFonts w:ascii="Arial" w:hAnsi="Arial" w:cs="Arial"/>
          <w:color w:val="000000"/>
          <w:lang w:val="fr-BE"/>
        </w:rPr>
        <w:tab/>
        <w:t xml:space="preserve">  6</w:t>
      </w:r>
      <w:proofErr w:type="gramEnd"/>
      <w:r w:rsidRPr="0060296B">
        <w:rPr>
          <w:rFonts w:ascii="Arial" w:hAnsi="Arial" w:cs="Arial"/>
          <w:color w:val="000000"/>
          <w:lang w:val="fr-BE"/>
        </w:rPr>
        <w:t xml:space="preserve"> %</w:t>
      </w:r>
    </w:p>
    <w:p w:rsidR="00DC2F97" w:rsidRPr="0060296B" w:rsidRDefault="00DC2F97" w:rsidP="00DC2F97">
      <w:pPr>
        <w:numPr>
          <w:ilvl w:val="0"/>
          <w:numId w:val="2"/>
        </w:numPr>
        <w:pBdr>
          <w:top w:val="single" w:sz="4" w:space="1" w:color="auto"/>
          <w:left w:val="single" w:sz="4" w:space="4" w:color="auto"/>
          <w:bottom w:val="single" w:sz="4" w:space="1" w:color="auto"/>
          <w:right w:val="single" w:sz="4" w:space="0" w:color="auto"/>
          <w:between w:val="single" w:sz="4" w:space="1" w:color="auto"/>
        </w:pBdr>
        <w:ind w:left="1440"/>
        <w:jc w:val="both"/>
        <w:rPr>
          <w:rFonts w:ascii="Arial" w:hAnsi="Arial" w:cs="Arial"/>
          <w:color w:val="000000"/>
          <w:lang w:val="fr-BE"/>
        </w:rPr>
      </w:pPr>
      <w:r w:rsidRPr="0060296B">
        <w:rPr>
          <w:rFonts w:ascii="Arial" w:hAnsi="Arial" w:cs="Arial"/>
          <w:color w:val="000000"/>
          <w:lang w:val="fr-BE"/>
        </w:rPr>
        <w:t>+ de 250.000 € :</w:t>
      </w:r>
      <w:r w:rsidRPr="0060296B">
        <w:rPr>
          <w:rFonts w:ascii="Arial" w:hAnsi="Arial" w:cs="Arial"/>
          <w:color w:val="000000"/>
          <w:lang w:val="fr-BE"/>
        </w:rPr>
        <w:tab/>
      </w:r>
      <w:r w:rsidRPr="0060296B">
        <w:rPr>
          <w:rFonts w:ascii="Arial" w:hAnsi="Arial" w:cs="Arial"/>
          <w:color w:val="000000"/>
          <w:lang w:val="fr-BE"/>
        </w:rPr>
        <w:tab/>
        <w:t xml:space="preserve"> </w:t>
      </w:r>
      <w:r w:rsidRPr="0060296B">
        <w:rPr>
          <w:rFonts w:ascii="Arial" w:hAnsi="Arial" w:cs="Arial"/>
          <w:color w:val="000000"/>
          <w:lang w:val="fr-BE"/>
        </w:rPr>
        <w:tab/>
      </w:r>
      <w:r w:rsidRPr="0060296B">
        <w:rPr>
          <w:rFonts w:ascii="Arial" w:hAnsi="Arial" w:cs="Arial"/>
          <w:color w:val="000000"/>
          <w:lang w:val="fr-BE"/>
        </w:rPr>
        <w:tab/>
      </w:r>
      <w:r w:rsidRPr="0060296B">
        <w:rPr>
          <w:rFonts w:ascii="Arial" w:hAnsi="Arial" w:cs="Arial"/>
          <w:color w:val="000000"/>
          <w:lang w:val="fr-BE"/>
        </w:rPr>
        <w:tab/>
      </w:r>
      <w:proofErr w:type="gramStart"/>
      <w:r w:rsidRPr="0060296B">
        <w:rPr>
          <w:rFonts w:ascii="Arial" w:hAnsi="Arial" w:cs="Arial"/>
          <w:color w:val="000000"/>
          <w:lang w:val="fr-BE"/>
        </w:rPr>
        <w:tab/>
        <w:t xml:space="preserve">  4</w:t>
      </w:r>
      <w:proofErr w:type="gramEnd"/>
      <w:r w:rsidRPr="0060296B">
        <w:rPr>
          <w:rFonts w:ascii="Arial" w:hAnsi="Arial" w:cs="Arial"/>
          <w:color w:val="000000"/>
          <w:lang w:val="fr-BE"/>
        </w:rPr>
        <w:t xml:space="preserve"> %</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r w:rsidRPr="0060296B">
        <w:rPr>
          <w:rFonts w:ascii="Arial" w:hAnsi="Arial" w:cs="Arial"/>
          <w:color w:val="000000"/>
          <w:lang w:val="fr-BE"/>
        </w:rPr>
        <w:t>Dans cette hypothèse, les honoraires se calculent sur la valeur réelle du litige, c’est-à-dire sur la somme réclamée par la mise en demeure, la citation ou tout autre acte introductif d’instance pour autant que cette somme ne soit pas manifestement excessive ou sous-évaluée.  Cette somme peut être adaptée, en cours de procédure, lorsque le demandeur précise sa demande en fonction des éléments du dossier.</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r w:rsidRPr="0060296B">
        <w:rPr>
          <w:rFonts w:ascii="Arial" w:hAnsi="Arial" w:cs="Arial"/>
          <w:color w:val="000000"/>
          <w:lang w:val="fr-BE"/>
        </w:rPr>
        <w:t>Pour déterminer la valeur réelle du litige, il faut tenir compte des intérêts et des accessoires.</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r w:rsidRPr="0060296B">
        <w:rPr>
          <w:rFonts w:ascii="Arial" w:hAnsi="Arial" w:cs="Arial"/>
          <w:color w:val="000000"/>
          <w:lang w:val="fr-BE"/>
        </w:rPr>
        <w:t>Le montant de la demande reconventionnelle éventuelle est cumulé avec celui de la demande principale.</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r w:rsidRPr="0060296B">
        <w:rPr>
          <w:rFonts w:ascii="Arial" w:hAnsi="Arial" w:cs="Arial"/>
          <w:color w:val="000000"/>
          <w:lang w:val="fr-BE"/>
        </w:rPr>
        <w:t>Cet honoraire de résultat ne peut jamais être inférieur aux honoraires calculés selon la formule du taux horaire, au taux convenu.</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r w:rsidRPr="0060296B">
        <w:rPr>
          <w:rFonts w:ascii="Arial" w:hAnsi="Arial" w:cs="Arial"/>
          <w:color w:val="000000"/>
          <w:lang w:val="fr-BE"/>
        </w:rPr>
        <w:lastRenderedPageBreak/>
        <w:t>En fonction des particularités de l’affaire, de la qualité du client et du caractère éventuellement régulier de la collaboration avec le cabinet, d’autres modalités de fixation des honoraires peuvent être librement convenues.</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r w:rsidRPr="0060296B">
        <w:rPr>
          <w:rFonts w:ascii="Arial" w:hAnsi="Arial" w:cs="Arial"/>
          <w:color w:val="000000"/>
          <w:lang w:val="fr-BE"/>
        </w:rPr>
        <w:t>Ainsi, il peut être recouru à un système d’honoraires forfaitaires ou encore à un système d’abonnement.</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p>
    <w:p w:rsidR="00DC2F97" w:rsidRPr="0060296B" w:rsidRDefault="00DC2F97" w:rsidP="00DC2F97">
      <w:pPr>
        <w:numPr>
          <w:ilvl w:val="0"/>
          <w:numId w:val="1"/>
        </w:numPr>
        <w:jc w:val="both"/>
        <w:rPr>
          <w:rFonts w:ascii="Arial" w:hAnsi="Arial" w:cs="Arial"/>
          <w:b/>
          <w:color w:val="000000"/>
          <w:u w:val="single"/>
          <w:lang w:val="fr-BE"/>
        </w:rPr>
      </w:pPr>
      <w:r w:rsidRPr="0060296B">
        <w:rPr>
          <w:rFonts w:ascii="Arial" w:hAnsi="Arial" w:cs="Arial"/>
          <w:b/>
          <w:color w:val="000000"/>
          <w:u w:val="single"/>
          <w:lang w:val="fr-BE"/>
        </w:rPr>
        <w:t>LES FRAIS :</w:t>
      </w:r>
    </w:p>
    <w:p w:rsidR="00DC2F97" w:rsidRPr="0060296B" w:rsidRDefault="00DC2F97" w:rsidP="00DC2F97">
      <w:pPr>
        <w:jc w:val="both"/>
        <w:rPr>
          <w:rFonts w:ascii="Arial" w:hAnsi="Arial" w:cs="Arial"/>
          <w:color w:val="000000"/>
          <w:lang w:val="fr-BE"/>
        </w:rPr>
      </w:pPr>
    </w:p>
    <w:p w:rsidR="00DC2F97" w:rsidRPr="0060296B" w:rsidRDefault="00DC2F97" w:rsidP="00DC2F97">
      <w:pPr>
        <w:numPr>
          <w:ilvl w:val="0"/>
          <w:numId w:val="3"/>
        </w:numPr>
        <w:jc w:val="both"/>
        <w:rPr>
          <w:rFonts w:ascii="Arial" w:hAnsi="Arial" w:cs="Arial"/>
          <w:color w:val="000000"/>
          <w:lang w:val="fr-BE"/>
        </w:rPr>
      </w:pPr>
      <w:r w:rsidRPr="0060296B">
        <w:rPr>
          <w:rFonts w:ascii="Arial" w:hAnsi="Arial" w:cs="Arial"/>
          <w:color w:val="000000"/>
          <w:u w:val="single"/>
          <w:lang w:val="fr-BE"/>
        </w:rPr>
        <w:t>Les frais et débours</w:t>
      </w:r>
      <w:r w:rsidRPr="0060296B">
        <w:rPr>
          <w:rFonts w:ascii="Arial" w:hAnsi="Arial" w:cs="Arial"/>
          <w:color w:val="000000"/>
          <w:lang w:val="fr-BE"/>
        </w:rPr>
        <w:t xml:space="preserve"> : </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r w:rsidRPr="0060296B">
        <w:rPr>
          <w:rFonts w:ascii="Arial" w:hAnsi="Arial" w:cs="Arial"/>
          <w:color w:val="000000"/>
          <w:lang w:val="fr-BE"/>
        </w:rPr>
        <w:t xml:space="preserve">Le cabinet demande le paiement des frais qu’il expose selon le barème suivant : </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p>
    <w:tbl>
      <w:tblPr>
        <w:tblW w:w="7656" w:type="dxa"/>
        <w:tblInd w:w="108"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4395"/>
        <w:gridCol w:w="3261"/>
      </w:tblGrid>
      <w:tr w:rsidR="00DC2F97" w:rsidRPr="0060296B" w:rsidTr="00F26ECD">
        <w:tc>
          <w:tcPr>
            <w:tcW w:w="4395" w:type="dxa"/>
            <w:tcBorders>
              <w:top w:val="single" w:sz="4" w:space="0" w:color="A5A5A5"/>
              <w:left w:val="single" w:sz="4" w:space="0" w:color="A5A5A5"/>
              <w:bottom w:val="single" w:sz="4" w:space="0" w:color="A5A5A5"/>
              <w:right w:val="single" w:sz="4" w:space="0" w:color="A5A5A5"/>
            </w:tcBorders>
          </w:tcPr>
          <w:p w:rsidR="00DC2F97" w:rsidRPr="0060296B" w:rsidRDefault="00DC2F97" w:rsidP="00F26ECD">
            <w:pPr>
              <w:jc w:val="both"/>
              <w:rPr>
                <w:rFonts w:ascii="Arial" w:hAnsi="Arial" w:cs="Arial"/>
                <w:color w:val="000000"/>
                <w:lang w:val="fr-BE"/>
              </w:rPr>
            </w:pPr>
            <w:r w:rsidRPr="0060296B">
              <w:rPr>
                <w:rFonts w:ascii="Arial" w:hAnsi="Arial" w:cs="Arial"/>
                <w:color w:val="000000"/>
                <w:lang w:val="fr-BE"/>
              </w:rPr>
              <w:t>Frais d’ouverture de dossier (ouverture, gestion administrative et clôture) :</w:t>
            </w:r>
          </w:p>
        </w:tc>
        <w:tc>
          <w:tcPr>
            <w:tcW w:w="3261" w:type="dxa"/>
            <w:tcBorders>
              <w:top w:val="single" w:sz="4" w:space="0" w:color="A5A5A5"/>
              <w:left w:val="single" w:sz="4" w:space="0" w:color="A5A5A5"/>
              <w:bottom w:val="single" w:sz="4" w:space="0" w:color="A5A5A5"/>
              <w:right w:val="single" w:sz="4" w:space="0" w:color="A5A5A5"/>
            </w:tcBorders>
          </w:tcPr>
          <w:p w:rsidR="00DC2F97" w:rsidRPr="0060296B" w:rsidRDefault="00DC2F97" w:rsidP="00F26ECD">
            <w:pPr>
              <w:jc w:val="right"/>
              <w:rPr>
                <w:rFonts w:ascii="Arial" w:hAnsi="Arial" w:cs="Arial"/>
                <w:color w:val="000000"/>
                <w:lang w:val="fr-BE"/>
              </w:rPr>
            </w:pPr>
            <w:r w:rsidRPr="0060296B">
              <w:rPr>
                <w:rFonts w:ascii="Arial" w:hAnsi="Arial" w:cs="Arial"/>
                <w:color w:val="000000"/>
                <w:lang w:val="fr-BE"/>
              </w:rPr>
              <w:t>60,00 €</w:t>
            </w:r>
          </w:p>
        </w:tc>
      </w:tr>
      <w:tr w:rsidR="00DC2F97" w:rsidRPr="0060296B" w:rsidTr="00F26ECD">
        <w:tc>
          <w:tcPr>
            <w:tcW w:w="4395" w:type="dxa"/>
            <w:tcBorders>
              <w:top w:val="single" w:sz="4" w:space="0" w:color="A5A5A5"/>
              <w:left w:val="single" w:sz="4" w:space="0" w:color="A5A5A5"/>
              <w:bottom w:val="single" w:sz="4" w:space="0" w:color="A5A5A5"/>
              <w:right w:val="single" w:sz="4" w:space="0" w:color="A5A5A5"/>
            </w:tcBorders>
          </w:tcPr>
          <w:p w:rsidR="00DC2F97" w:rsidRPr="0060296B" w:rsidRDefault="00DC2F97" w:rsidP="00F26ECD">
            <w:pPr>
              <w:jc w:val="both"/>
              <w:rPr>
                <w:rFonts w:ascii="Arial" w:hAnsi="Arial" w:cs="Arial"/>
                <w:color w:val="000000"/>
                <w:lang w:val="fr-BE"/>
              </w:rPr>
            </w:pPr>
            <w:r w:rsidRPr="0060296B">
              <w:rPr>
                <w:rFonts w:ascii="Arial" w:hAnsi="Arial" w:cs="Arial"/>
                <w:color w:val="000000"/>
                <w:lang w:val="fr-BE"/>
              </w:rPr>
              <w:t>Frais de dactylographie, de correspondances, courriels, conclusions, requêtes ou autres documents :</w:t>
            </w:r>
          </w:p>
        </w:tc>
        <w:tc>
          <w:tcPr>
            <w:tcW w:w="3261" w:type="dxa"/>
            <w:tcBorders>
              <w:top w:val="single" w:sz="4" w:space="0" w:color="A5A5A5"/>
              <w:left w:val="single" w:sz="4" w:space="0" w:color="A5A5A5"/>
              <w:bottom w:val="single" w:sz="4" w:space="0" w:color="A5A5A5"/>
              <w:right w:val="single" w:sz="4" w:space="0" w:color="A5A5A5"/>
            </w:tcBorders>
          </w:tcPr>
          <w:p w:rsidR="00DC2F97" w:rsidRPr="0060296B" w:rsidRDefault="00DC2F97" w:rsidP="00F26ECD">
            <w:pPr>
              <w:jc w:val="right"/>
              <w:rPr>
                <w:rFonts w:ascii="Arial" w:hAnsi="Arial" w:cs="Arial"/>
                <w:color w:val="000000"/>
                <w:lang w:val="fr-BE"/>
              </w:rPr>
            </w:pPr>
            <w:r w:rsidRPr="0060296B">
              <w:rPr>
                <w:rFonts w:ascii="Arial" w:hAnsi="Arial" w:cs="Arial"/>
                <w:color w:val="000000"/>
                <w:lang w:val="fr-BE"/>
              </w:rPr>
              <w:t xml:space="preserve">        10,00 €/la page</w:t>
            </w:r>
          </w:p>
        </w:tc>
      </w:tr>
      <w:tr w:rsidR="00DC2F97" w:rsidRPr="0060296B" w:rsidTr="00F26ECD">
        <w:tc>
          <w:tcPr>
            <w:tcW w:w="4395" w:type="dxa"/>
            <w:tcBorders>
              <w:top w:val="single" w:sz="4" w:space="0" w:color="A5A5A5"/>
              <w:left w:val="single" w:sz="4" w:space="0" w:color="A5A5A5"/>
              <w:bottom w:val="single" w:sz="4" w:space="0" w:color="A5A5A5"/>
              <w:right w:val="single" w:sz="4" w:space="0" w:color="A5A5A5"/>
            </w:tcBorders>
          </w:tcPr>
          <w:p w:rsidR="00DC2F97" w:rsidRPr="0060296B" w:rsidRDefault="00DC2F97" w:rsidP="00F26ECD">
            <w:pPr>
              <w:jc w:val="both"/>
              <w:rPr>
                <w:rFonts w:ascii="Arial" w:hAnsi="Arial" w:cs="Arial"/>
                <w:color w:val="000000"/>
                <w:lang w:val="fr-BE"/>
              </w:rPr>
            </w:pPr>
            <w:r w:rsidRPr="0060296B">
              <w:rPr>
                <w:rFonts w:ascii="Arial" w:hAnsi="Arial" w:cs="Arial"/>
                <w:color w:val="000000"/>
                <w:lang w:val="fr-BE"/>
              </w:rPr>
              <w:t>Frais de courriers recommandés :</w:t>
            </w:r>
          </w:p>
        </w:tc>
        <w:tc>
          <w:tcPr>
            <w:tcW w:w="3261" w:type="dxa"/>
            <w:tcBorders>
              <w:top w:val="single" w:sz="4" w:space="0" w:color="A5A5A5"/>
              <w:left w:val="single" w:sz="4" w:space="0" w:color="A5A5A5"/>
              <w:bottom w:val="single" w:sz="4" w:space="0" w:color="A5A5A5"/>
              <w:right w:val="single" w:sz="4" w:space="0" w:color="A5A5A5"/>
            </w:tcBorders>
          </w:tcPr>
          <w:p w:rsidR="00DC2F97" w:rsidRPr="0060296B" w:rsidRDefault="00DC2F97" w:rsidP="00F26ECD">
            <w:pPr>
              <w:jc w:val="right"/>
              <w:rPr>
                <w:rFonts w:ascii="Arial" w:hAnsi="Arial" w:cs="Arial"/>
                <w:color w:val="000000"/>
                <w:lang w:val="fr-BE"/>
              </w:rPr>
            </w:pPr>
            <w:r w:rsidRPr="0060296B">
              <w:rPr>
                <w:rFonts w:ascii="Arial" w:hAnsi="Arial" w:cs="Arial"/>
                <w:color w:val="000000"/>
                <w:lang w:val="fr-BE"/>
              </w:rPr>
              <w:t>6,00 €</w:t>
            </w:r>
          </w:p>
        </w:tc>
      </w:tr>
      <w:tr w:rsidR="00DC2F97" w:rsidRPr="0060296B" w:rsidTr="00F26ECD">
        <w:tc>
          <w:tcPr>
            <w:tcW w:w="4395" w:type="dxa"/>
            <w:tcBorders>
              <w:top w:val="single" w:sz="4" w:space="0" w:color="A5A5A5"/>
              <w:left w:val="single" w:sz="4" w:space="0" w:color="A5A5A5"/>
              <w:bottom w:val="single" w:sz="4" w:space="0" w:color="A5A5A5"/>
              <w:right w:val="single" w:sz="4" w:space="0" w:color="A5A5A5"/>
            </w:tcBorders>
          </w:tcPr>
          <w:p w:rsidR="00DC2F97" w:rsidRPr="0060296B" w:rsidRDefault="00DC2F97" w:rsidP="00F26ECD">
            <w:pPr>
              <w:jc w:val="both"/>
              <w:rPr>
                <w:rFonts w:ascii="Arial" w:hAnsi="Arial" w:cs="Arial"/>
                <w:color w:val="000000"/>
                <w:lang w:val="fr-BE"/>
              </w:rPr>
            </w:pPr>
            <w:r w:rsidRPr="0060296B">
              <w:rPr>
                <w:rFonts w:ascii="Arial" w:hAnsi="Arial" w:cs="Arial"/>
                <w:color w:val="000000"/>
                <w:lang w:val="fr-BE"/>
              </w:rPr>
              <w:t>Photocopies :</w:t>
            </w:r>
          </w:p>
        </w:tc>
        <w:tc>
          <w:tcPr>
            <w:tcW w:w="3261" w:type="dxa"/>
            <w:tcBorders>
              <w:top w:val="single" w:sz="4" w:space="0" w:color="A5A5A5"/>
              <w:left w:val="single" w:sz="4" w:space="0" w:color="A5A5A5"/>
              <w:bottom w:val="single" w:sz="4" w:space="0" w:color="A5A5A5"/>
              <w:right w:val="single" w:sz="4" w:space="0" w:color="A5A5A5"/>
            </w:tcBorders>
          </w:tcPr>
          <w:p w:rsidR="00DC2F97" w:rsidRPr="0060296B" w:rsidRDefault="00DC2F97" w:rsidP="00F26ECD">
            <w:pPr>
              <w:jc w:val="right"/>
              <w:rPr>
                <w:rFonts w:ascii="Arial" w:hAnsi="Arial" w:cs="Arial"/>
                <w:color w:val="000000"/>
                <w:lang w:val="fr-BE"/>
              </w:rPr>
            </w:pPr>
            <w:r w:rsidRPr="0060296B">
              <w:rPr>
                <w:rFonts w:ascii="Arial" w:hAnsi="Arial" w:cs="Arial"/>
                <w:color w:val="000000"/>
                <w:lang w:val="fr-BE"/>
              </w:rPr>
              <w:t>0,50 cent / photocopie</w:t>
            </w:r>
          </w:p>
        </w:tc>
      </w:tr>
      <w:tr w:rsidR="00DC2F97" w:rsidRPr="0060296B" w:rsidTr="00F26ECD">
        <w:tc>
          <w:tcPr>
            <w:tcW w:w="4395" w:type="dxa"/>
            <w:tcBorders>
              <w:top w:val="single" w:sz="4" w:space="0" w:color="A5A5A5"/>
              <w:left w:val="single" w:sz="4" w:space="0" w:color="A5A5A5"/>
              <w:bottom w:val="single" w:sz="4" w:space="0" w:color="A5A5A5"/>
              <w:right w:val="single" w:sz="4" w:space="0" w:color="A5A5A5"/>
            </w:tcBorders>
          </w:tcPr>
          <w:p w:rsidR="00DC2F97" w:rsidRPr="0060296B" w:rsidRDefault="00DC2F97" w:rsidP="00F26ECD">
            <w:pPr>
              <w:jc w:val="both"/>
              <w:rPr>
                <w:rFonts w:ascii="Arial" w:hAnsi="Arial" w:cs="Arial"/>
                <w:color w:val="000000"/>
                <w:lang w:val="fr-BE"/>
              </w:rPr>
            </w:pPr>
            <w:r w:rsidRPr="0060296B">
              <w:rPr>
                <w:rFonts w:ascii="Arial" w:hAnsi="Arial" w:cs="Arial"/>
                <w:color w:val="000000"/>
                <w:lang w:val="fr-BE"/>
              </w:rPr>
              <w:t xml:space="preserve">Frais de déplacements par kilomètre parcouru : </w:t>
            </w:r>
          </w:p>
        </w:tc>
        <w:tc>
          <w:tcPr>
            <w:tcW w:w="3261" w:type="dxa"/>
            <w:tcBorders>
              <w:top w:val="single" w:sz="4" w:space="0" w:color="A5A5A5"/>
              <w:left w:val="single" w:sz="4" w:space="0" w:color="A5A5A5"/>
              <w:bottom w:val="single" w:sz="4" w:space="0" w:color="A5A5A5"/>
              <w:right w:val="single" w:sz="4" w:space="0" w:color="A5A5A5"/>
            </w:tcBorders>
          </w:tcPr>
          <w:p w:rsidR="00DC2F97" w:rsidRPr="0060296B" w:rsidRDefault="00DC2F97" w:rsidP="00F26ECD">
            <w:pPr>
              <w:jc w:val="right"/>
              <w:rPr>
                <w:rFonts w:ascii="Arial" w:hAnsi="Arial" w:cs="Arial"/>
                <w:color w:val="000000"/>
                <w:lang w:val="fr-BE"/>
              </w:rPr>
            </w:pPr>
            <w:r w:rsidRPr="0060296B">
              <w:rPr>
                <w:rFonts w:ascii="Arial" w:hAnsi="Arial" w:cs="Arial"/>
                <w:color w:val="000000"/>
                <w:lang w:val="fr-BE"/>
              </w:rPr>
              <w:t>0,50 € / km</w:t>
            </w:r>
          </w:p>
        </w:tc>
      </w:tr>
      <w:tr w:rsidR="00DC2F97" w:rsidRPr="0060296B" w:rsidTr="00F26ECD">
        <w:tc>
          <w:tcPr>
            <w:tcW w:w="4395" w:type="dxa"/>
            <w:tcBorders>
              <w:top w:val="single" w:sz="4" w:space="0" w:color="A5A5A5"/>
              <w:left w:val="single" w:sz="4" w:space="0" w:color="A5A5A5"/>
              <w:bottom w:val="single" w:sz="4" w:space="0" w:color="A5A5A5"/>
              <w:right w:val="single" w:sz="4" w:space="0" w:color="A5A5A5"/>
            </w:tcBorders>
          </w:tcPr>
          <w:p w:rsidR="00DC2F97" w:rsidRPr="0060296B" w:rsidRDefault="00DC2F97" w:rsidP="00F26ECD">
            <w:pPr>
              <w:jc w:val="both"/>
              <w:rPr>
                <w:rFonts w:ascii="Arial" w:hAnsi="Arial" w:cs="Arial"/>
                <w:color w:val="000000"/>
                <w:lang w:val="fr-BE"/>
              </w:rPr>
            </w:pPr>
            <w:r w:rsidRPr="0060296B">
              <w:rPr>
                <w:rFonts w:ascii="Arial" w:hAnsi="Arial" w:cs="Arial"/>
                <w:color w:val="000000"/>
                <w:lang w:val="fr-BE"/>
              </w:rPr>
              <w:t xml:space="preserve">Téléphone / fax : </w:t>
            </w:r>
          </w:p>
        </w:tc>
        <w:tc>
          <w:tcPr>
            <w:tcW w:w="3261" w:type="dxa"/>
            <w:tcBorders>
              <w:top w:val="single" w:sz="4" w:space="0" w:color="A5A5A5"/>
              <w:left w:val="single" w:sz="4" w:space="0" w:color="A5A5A5"/>
              <w:bottom w:val="single" w:sz="4" w:space="0" w:color="A5A5A5"/>
              <w:right w:val="single" w:sz="4" w:space="0" w:color="A5A5A5"/>
            </w:tcBorders>
          </w:tcPr>
          <w:p w:rsidR="00DC2F97" w:rsidRPr="0060296B" w:rsidRDefault="00DC2F97" w:rsidP="00F26ECD">
            <w:pPr>
              <w:jc w:val="right"/>
              <w:rPr>
                <w:rFonts w:ascii="Arial" w:hAnsi="Arial" w:cs="Arial"/>
                <w:color w:val="000000"/>
                <w:lang w:val="fr-BE"/>
              </w:rPr>
            </w:pPr>
            <w:r w:rsidRPr="0060296B">
              <w:rPr>
                <w:rFonts w:ascii="Arial" w:hAnsi="Arial" w:cs="Arial"/>
                <w:color w:val="000000"/>
                <w:lang w:val="fr-BE"/>
              </w:rPr>
              <w:t>10% des frais de correspondance</w:t>
            </w:r>
          </w:p>
        </w:tc>
      </w:tr>
    </w:tbl>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r w:rsidRPr="0060296B">
        <w:rPr>
          <w:rFonts w:ascii="Arial" w:hAnsi="Arial" w:cs="Arial"/>
          <w:color w:val="000000"/>
          <w:lang w:val="fr-BE"/>
        </w:rPr>
        <w:t xml:space="preserve">Sauf exception, les frais d’huissier sont réglés directement par le client, sans intervention de l’avocat. </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r w:rsidRPr="0060296B">
        <w:rPr>
          <w:rFonts w:ascii="Arial" w:hAnsi="Arial" w:cs="Arial"/>
          <w:color w:val="000000"/>
          <w:lang w:val="fr-BE"/>
        </w:rPr>
        <w:t>Il en va de même pour les frais d’expertise, les frais de conseil technique et les frais et honoraires de correspondants étrangers</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p>
    <w:p w:rsidR="00DC2F97" w:rsidRPr="0060296B" w:rsidRDefault="00DC2F97" w:rsidP="00DC2F97">
      <w:pPr>
        <w:numPr>
          <w:ilvl w:val="0"/>
          <w:numId w:val="3"/>
        </w:numPr>
        <w:jc w:val="both"/>
        <w:rPr>
          <w:rFonts w:ascii="Arial" w:hAnsi="Arial" w:cs="Arial"/>
          <w:color w:val="000000"/>
          <w:u w:val="single"/>
          <w:lang w:val="fr-BE"/>
        </w:rPr>
      </w:pPr>
      <w:r w:rsidRPr="0060296B">
        <w:rPr>
          <w:rFonts w:ascii="Arial" w:hAnsi="Arial" w:cs="Arial"/>
          <w:color w:val="000000"/>
          <w:u w:val="single"/>
          <w:lang w:val="fr-BE"/>
        </w:rPr>
        <w:t xml:space="preserve">Provisions : </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r w:rsidRPr="0060296B">
        <w:rPr>
          <w:rFonts w:ascii="Arial" w:hAnsi="Arial" w:cs="Arial"/>
          <w:color w:val="000000"/>
          <w:lang w:val="fr-BE"/>
        </w:rPr>
        <w:t>Des provisions sur frais et honoraires vous seront régulièrement demandées par courrier.</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r w:rsidRPr="0060296B">
        <w:rPr>
          <w:rFonts w:ascii="Arial" w:hAnsi="Arial" w:cs="Arial"/>
          <w:color w:val="000000"/>
          <w:lang w:val="fr-BE"/>
        </w:rPr>
        <w:t>Celles-ci ont pour vocation de couvrir les frais et honoraires déjà engagés ou à engager dans un avenir proche par l’avocat.</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r w:rsidRPr="0060296B">
        <w:rPr>
          <w:rFonts w:ascii="Arial" w:hAnsi="Arial" w:cs="Arial"/>
          <w:color w:val="000000"/>
          <w:lang w:val="fr-BE"/>
        </w:rPr>
        <w:t xml:space="preserve">Les demandes de provisions sont payables au comptant. </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r w:rsidRPr="0060296B">
        <w:rPr>
          <w:rFonts w:ascii="Arial" w:hAnsi="Arial" w:cs="Arial"/>
          <w:color w:val="000000"/>
          <w:lang w:val="fr-BE"/>
        </w:rPr>
        <w:t>Sauf urgence, l’avocat se réserve le droit de suspendre immédiatement son intervention en cas de non-paiement de la provision sollicitée.</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p>
    <w:p w:rsidR="00DC2F97" w:rsidRPr="0060296B" w:rsidRDefault="00DC2F97" w:rsidP="00DC2F97">
      <w:pPr>
        <w:numPr>
          <w:ilvl w:val="0"/>
          <w:numId w:val="3"/>
        </w:numPr>
        <w:jc w:val="both"/>
        <w:rPr>
          <w:rFonts w:ascii="Arial" w:hAnsi="Arial" w:cs="Arial"/>
          <w:color w:val="000000"/>
          <w:u w:val="single"/>
          <w:lang w:val="fr-BE"/>
        </w:rPr>
      </w:pPr>
      <w:r w:rsidRPr="0060296B">
        <w:rPr>
          <w:rFonts w:ascii="Arial" w:hAnsi="Arial" w:cs="Arial"/>
          <w:color w:val="000000"/>
          <w:u w:val="single"/>
          <w:lang w:val="fr-BE"/>
        </w:rPr>
        <w:t>Etat d’honoraires et frais :</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r w:rsidRPr="0060296B">
        <w:rPr>
          <w:rFonts w:ascii="Arial" w:hAnsi="Arial" w:cs="Arial"/>
          <w:color w:val="000000"/>
          <w:lang w:val="fr-BE"/>
        </w:rPr>
        <w:t>A la clôture du dossier, un état d’honoraire et frais détaillé est établi conformément à la méthode convenue.</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r w:rsidRPr="0060296B">
        <w:rPr>
          <w:rFonts w:ascii="Arial" w:hAnsi="Arial" w:cs="Arial"/>
          <w:color w:val="000000"/>
          <w:lang w:val="fr-BE"/>
        </w:rPr>
        <w:t>Il comprend la description des devoirs accomplis, le résultat obtenu, le montant des honoraires, les frais et débours ainsi que des provisions, indemnités de procédure et autres sommes perçues pour le client.</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r w:rsidRPr="0060296B">
        <w:rPr>
          <w:rFonts w:ascii="Arial" w:hAnsi="Arial" w:cs="Arial"/>
          <w:color w:val="000000"/>
          <w:lang w:val="fr-BE"/>
        </w:rPr>
        <w:t>Des états de frais et honoraires intermédiaires peuvent être envoyés à intervalles réguliers et notamment à l’issue de chaque étape importante de la procédure.</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r w:rsidRPr="0060296B">
        <w:rPr>
          <w:rFonts w:ascii="Arial" w:hAnsi="Arial" w:cs="Arial"/>
          <w:color w:val="000000"/>
          <w:lang w:val="fr-BE"/>
        </w:rPr>
        <w:t>Les états d’honoraires sont payables au comptant.</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r w:rsidRPr="0060296B">
        <w:rPr>
          <w:rFonts w:ascii="Arial" w:hAnsi="Arial" w:cs="Arial"/>
          <w:color w:val="000000"/>
          <w:lang w:val="fr-BE"/>
        </w:rPr>
        <w:t>Toute facture impayée à l’échéance porte de plein droit un intérêt de retard calculé au taux annuel de 10% ainsi qu’une indemnité forfaitaire représentant 10% du solde impayé.</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p>
    <w:p w:rsidR="00DC2F97" w:rsidRPr="0060296B" w:rsidRDefault="00DC2F97" w:rsidP="00DC2F97">
      <w:pPr>
        <w:numPr>
          <w:ilvl w:val="0"/>
          <w:numId w:val="3"/>
        </w:numPr>
        <w:jc w:val="both"/>
        <w:rPr>
          <w:rFonts w:ascii="Arial" w:hAnsi="Arial" w:cs="Arial"/>
          <w:color w:val="000000"/>
          <w:u w:val="single"/>
          <w:lang w:val="fr-BE"/>
        </w:rPr>
      </w:pPr>
      <w:r w:rsidRPr="0060296B">
        <w:rPr>
          <w:rFonts w:ascii="Arial" w:hAnsi="Arial" w:cs="Arial"/>
          <w:color w:val="000000"/>
          <w:u w:val="single"/>
          <w:lang w:val="fr-BE"/>
        </w:rPr>
        <w:lastRenderedPageBreak/>
        <w:t>TVA :</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r w:rsidRPr="0060296B">
        <w:rPr>
          <w:rFonts w:ascii="Arial" w:hAnsi="Arial" w:cs="Arial"/>
          <w:color w:val="000000"/>
          <w:lang w:val="fr-BE"/>
        </w:rPr>
        <w:t>Depuis le 01.01.2014, les frais et honoraires d’avocats sont soumis à la TVA.</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r w:rsidRPr="0060296B">
        <w:rPr>
          <w:rFonts w:ascii="Arial" w:hAnsi="Arial" w:cs="Arial"/>
          <w:color w:val="000000"/>
          <w:lang w:val="fr-BE"/>
        </w:rPr>
        <w:t>Les montants repris ci-dessus doivent être majorés de 21% de TVA.</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r w:rsidRPr="0060296B">
        <w:rPr>
          <w:rFonts w:ascii="Arial" w:hAnsi="Arial" w:cs="Arial"/>
          <w:color w:val="000000"/>
          <w:lang w:val="fr-BE"/>
        </w:rPr>
        <w:t>Il appartient au client de communiquer le cas échéant son numéro de TVA à l’avocat.</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r w:rsidRPr="0060296B">
        <w:rPr>
          <w:rFonts w:ascii="Arial" w:hAnsi="Arial" w:cs="Arial"/>
          <w:color w:val="000000"/>
          <w:lang w:val="fr-BE"/>
        </w:rPr>
        <w:t>Le client reconnait avoir été informé des données qui précèdent au début de l’intervention de l’avocat et renonce à toute contestation sur ce point à défaut d’écrit dans les quinze jours suivant le premier courrier lui adressé.</w:t>
      </w:r>
    </w:p>
    <w:p w:rsidR="00DC2F97" w:rsidRPr="0060296B" w:rsidRDefault="00DC2F97" w:rsidP="00DC2F97">
      <w:pPr>
        <w:jc w:val="both"/>
        <w:rPr>
          <w:rFonts w:ascii="Arial" w:hAnsi="Arial" w:cs="Arial"/>
          <w:color w:val="000000"/>
          <w:lang w:val="fr-BE"/>
        </w:rPr>
      </w:pPr>
    </w:p>
    <w:p w:rsidR="00592FD2" w:rsidRDefault="00592FD2"/>
    <w:sectPr w:rsidR="00592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2023"/>
    <w:multiLevelType w:val="hybridMultilevel"/>
    <w:tmpl w:val="02F24BE0"/>
    <w:lvl w:ilvl="0" w:tplc="2B8850C4">
      <w:start w:val="1"/>
      <w:numFmt w:val="decimal"/>
      <w:lvlText w:val="%1."/>
      <w:lvlJc w:val="left"/>
      <w:pPr>
        <w:ind w:left="420" w:hanging="360"/>
      </w:pPr>
    </w:lvl>
    <w:lvl w:ilvl="1" w:tplc="080C0019">
      <w:start w:val="1"/>
      <w:numFmt w:val="lowerLetter"/>
      <w:lvlText w:val="%2."/>
      <w:lvlJc w:val="left"/>
      <w:pPr>
        <w:ind w:left="1140" w:hanging="360"/>
      </w:pPr>
    </w:lvl>
    <w:lvl w:ilvl="2" w:tplc="080C001B">
      <w:start w:val="1"/>
      <w:numFmt w:val="lowerRoman"/>
      <w:lvlText w:val="%3."/>
      <w:lvlJc w:val="right"/>
      <w:pPr>
        <w:ind w:left="1860" w:hanging="180"/>
      </w:pPr>
    </w:lvl>
    <w:lvl w:ilvl="3" w:tplc="080C000F">
      <w:start w:val="1"/>
      <w:numFmt w:val="decimal"/>
      <w:lvlText w:val="%4."/>
      <w:lvlJc w:val="left"/>
      <w:pPr>
        <w:ind w:left="2580" w:hanging="360"/>
      </w:pPr>
    </w:lvl>
    <w:lvl w:ilvl="4" w:tplc="080C0019">
      <w:start w:val="1"/>
      <w:numFmt w:val="lowerLetter"/>
      <w:lvlText w:val="%5."/>
      <w:lvlJc w:val="left"/>
      <w:pPr>
        <w:ind w:left="3300" w:hanging="360"/>
      </w:pPr>
    </w:lvl>
    <w:lvl w:ilvl="5" w:tplc="080C001B">
      <w:start w:val="1"/>
      <w:numFmt w:val="lowerRoman"/>
      <w:lvlText w:val="%6."/>
      <w:lvlJc w:val="right"/>
      <w:pPr>
        <w:ind w:left="4020" w:hanging="180"/>
      </w:pPr>
    </w:lvl>
    <w:lvl w:ilvl="6" w:tplc="080C000F">
      <w:start w:val="1"/>
      <w:numFmt w:val="decimal"/>
      <w:lvlText w:val="%7."/>
      <w:lvlJc w:val="left"/>
      <w:pPr>
        <w:ind w:left="4740" w:hanging="360"/>
      </w:pPr>
    </w:lvl>
    <w:lvl w:ilvl="7" w:tplc="080C0019">
      <w:start w:val="1"/>
      <w:numFmt w:val="lowerLetter"/>
      <w:lvlText w:val="%8."/>
      <w:lvlJc w:val="left"/>
      <w:pPr>
        <w:ind w:left="5460" w:hanging="360"/>
      </w:pPr>
    </w:lvl>
    <w:lvl w:ilvl="8" w:tplc="080C001B">
      <w:start w:val="1"/>
      <w:numFmt w:val="lowerRoman"/>
      <w:lvlText w:val="%9."/>
      <w:lvlJc w:val="right"/>
      <w:pPr>
        <w:ind w:left="6180" w:hanging="180"/>
      </w:pPr>
    </w:lvl>
  </w:abstractNum>
  <w:abstractNum w:abstractNumId="1" w15:restartNumberingAfterBreak="0">
    <w:nsid w:val="3351782F"/>
    <w:multiLevelType w:val="hybridMultilevel"/>
    <w:tmpl w:val="6CB6F932"/>
    <w:lvl w:ilvl="0" w:tplc="6058A152">
      <w:numFmt w:val="bullet"/>
      <w:lvlText w:val=""/>
      <w:lvlJc w:val="left"/>
      <w:pPr>
        <w:ind w:left="720" w:hanging="360"/>
      </w:pPr>
      <w:rPr>
        <w:rFonts w:ascii="Symbol" w:eastAsia="Times" w:hAnsi="Symbo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76C11385"/>
    <w:multiLevelType w:val="hybridMultilevel"/>
    <w:tmpl w:val="A058C16E"/>
    <w:lvl w:ilvl="0" w:tplc="2DD8205A">
      <w:start w:val="1"/>
      <w:numFmt w:val="upperRoman"/>
      <w:lvlText w:val="%1."/>
      <w:lvlJc w:val="left"/>
      <w:pPr>
        <w:ind w:left="1080" w:hanging="72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97"/>
    <w:rsid w:val="00592FD2"/>
    <w:rsid w:val="00DC2F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ADED"/>
  <w15:chartTrackingRefBased/>
  <w15:docId w15:val="{F9B58DD2-B342-4907-A50C-D2E5C580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97"/>
    <w:pPr>
      <w:spacing w:after="0" w:line="240" w:lineRule="auto"/>
    </w:pPr>
    <w:rPr>
      <w:rFonts w:ascii="Courier (W1)" w:eastAsia="Times New Roman" w:hAnsi="Courier (W1)" w:cs="Times New Roman"/>
      <w:sz w:val="20"/>
      <w:szCs w:val="20"/>
      <w:lang w:val="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ttreTexte">
    <w:name w:val="LettreTexte"/>
    <w:basedOn w:val="Normal"/>
    <w:rsid w:val="00DC2F97"/>
    <w:pPr>
      <w:tabs>
        <w:tab w:val="left" w:pos="1276"/>
        <w:tab w:val="right" w:pos="9072"/>
      </w:tabs>
      <w:jc w:val="both"/>
    </w:pPr>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855</Words>
  <Characters>4708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De Borman</dc:creator>
  <cp:keywords/>
  <dc:description/>
  <cp:lastModifiedBy>elodie De Borman</cp:lastModifiedBy>
  <cp:revision>1</cp:revision>
  <dcterms:created xsi:type="dcterms:W3CDTF">2018-01-08T16:28:00Z</dcterms:created>
  <dcterms:modified xsi:type="dcterms:W3CDTF">2018-01-08T16:32:00Z</dcterms:modified>
</cp:coreProperties>
</file>